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  <w:rPr>
          <w:rFonts w:hint="default" w:ascii="黑体" w:hAnsi="黑体" w:eastAsia="黑体"/>
          <w:sz w:val="32"/>
          <w:szCs w:val="40"/>
          <w:lang w:val="en-US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t>供应链管理师国赛初赛理论部分考核细目</w:t>
      </w:r>
      <w:r>
        <w:rPr>
          <w:rFonts w:hint="eastAsia" w:ascii="黑体" w:hAnsi="黑体" w:eastAsia="黑体"/>
          <w:sz w:val="32"/>
          <w:szCs w:val="40"/>
        </w:rPr>
        <w:t>表</w:t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-高级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595"/>
        <w:gridCol w:w="2188"/>
        <w:gridCol w:w="4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558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职业功能模块</w:t>
            </w:r>
          </w:p>
        </w:tc>
        <w:tc>
          <w:tcPr>
            <w:tcW w:w="259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工作内容</w:t>
            </w:r>
          </w:p>
        </w:tc>
        <w:tc>
          <w:tcPr>
            <w:tcW w:w="2188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技能要求</w:t>
            </w:r>
          </w:p>
        </w:tc>
        <w:tc>
          <w:tcPr>
            <w:tcW w:w="4341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考核细目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558" w:type="dxa"/>
            <w:vMerge w:val="restart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战略管理</w:t>
            </w:r>
          </w:p>
        </w:tc>
        <w:tc>
          <w:tcPr>
            <w:tcW w:w="2595" w:type="dxa"/>
            <w:vMerge w:val="restart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1.1 供应链战略制定</w:t>
            </w:r>
          </w:p>
        </w:tc>
        <w:tc>
          <w:tcPr>
            <w:tcW w:w="2188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1.1.1 能制定供应链战略</w:t>
            </w:r>
          </w:p>
        </w:tc>
        <w:tc>
          <w:tcPr>
            <w:tcW w:w="4341" w:type="dxa"/>
            <w:shd w:val="clear" w:color="auto" w:fill="BDD6EE" w:themeFill="accent5" w:themeFillTint="66"/>
            <w:vAlign w:val="center"/>
          </w:tcPr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1）供应链战略环境</w:t>
            </w:r>
          </w:p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2）供应链战略环境分析的信息来源</w:t>
            </w:r>
          </w:p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3）供应链战略环境分析的工具</w:t>
            </w:r>
          </w:p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4）制作供应链环境分析报告</w:t>
            </w:r>
          </w:p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5）供应链战略的目标</w:t>
            </w:r>
          </w:p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6）功能性战略目标分解</w:t>
            </w:r>
          </w:p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7）供应链战略包含的内容</w:t>
            </w:r>
          </w:p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8）供应链战略案例分析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58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</w:p>
        </w:tc>
        <w:tc>
          <w:tcPr>
            <w:tcW w:w="2188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1</w:t>
            </w:r>
            <w:r>
              <w:rPr>
                <w:rFonts w:ascii="宋体" w:hAnsi="宋体" w:eastAsia="宋体"/>
                <w:sz w:val="18"/>
                <w:szCs w:val="21"/>
              </w:rPr>
              <w:t xml:space="preserve">.1.2 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能设计供应链方案</w:t>
            </w:r>
          </w:p>
        </w:tc>
        <w:tc>
          <w:tcPr>
            <w:tcW w:w="4341" w:type="dxa"/>
            <w:shd w:val="clear" w:color="auto" w:fill="BDD6EE" w:themeFill="accent5" w:themeFillTint="66"/>
            <w:vAlign w:val="center"/>
          </w:tcPr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1）供应链网络结构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2）供应链企业类型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3）供应链方案设计架构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4）供应链方案设计案例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8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供应链风险管理</w:t>
            </w:r>
          </w:p>
        </w:tc>
        <w:tc>
          <w:tcPr>
            <w:tcW w:w="2188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.2.1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能建立供应链风险评估体系</w:t>
            </w:r>
          </w:p>
        </w:tc>
        <w:tc>
          <w:tcPr>
            <w:tcW w:w="4341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1）供应链风险的定义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2）供应链风险的识别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3）供应链风险分析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4）供应链风险评价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8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.2.2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能设计供应链风险管理策略</w:t>
            </w:r>
          </w:p>
        </w:tc>
        <w:tc>
          <w:tcPr>
            <w:tcW w:w="4341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1）供应链风险管理工具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2）供应链风险管理策略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3）供应链风险管理案例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供应链绩效管理体系制定</w:t>
            </w:r>
          </w:p>
        </w:tc>
        <w:tc>
          <w:tcPr>
            <w:tcW w:w="2188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.3.1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能设计供应链绩效管理体系</w:t>
            </w:r>
          </w:p>
        </w:tc>
        <w:tc>
          <w:tcPr>
            <w:tcW w:w="4341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1）供应链绩效管理指标构成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2）供应链绩效管理体系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8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.3.2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能制定供应链绩效管理制度</w:t>
            </w:r>
          </w:p>
        </w:tc>
        <w:tc>
          <w:tcPr>
            <w:tcW w:w="4341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）供应链绩效管理标准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）供应链绩效管理制度制定方案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3）供应链绩效管理案例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.4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供应链质量管理体系制定</w:t>
            </w:r>
          </w:p>
        </w:tc>
        <w:tc>
          <w:tcPr>
            <w:tcW w:w="2188" w:type="dxa"/>
            <w:tcBorders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1.4.1 能设计供应链质量管理体系</w:t>
            </w:r>
          </w:p>
        </w:tc>
        <w:tc>
          <w:tcPr>
            <w:tcW w:w="4341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1）供应链质量的定义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2）供应链质量管理的挑战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3）供应链质量的构成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58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color="auto" w:sz="4" w:space="0"/>
            </w:tcBorders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1.4.2 能制定供应链质量管理制度 </w:t>
            </w:r>
          </w:p>
        </w:tc>
        <w:tc>
          <w:tcPr>
            <w:tcW w:w="4341" w:type="dxa"/>
            <w:shd w:val="clear" w:color="auto" w:fill="BDD6EE" w:themeFill="accent5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）供应链质量评估与管理工具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2）供应链质量管理途径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3）供应链质量管理案例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restart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计划管理</w:t>
            </w:r>
          </w:p>
        </w:tc>
        <w:tc>
          <w:tcPr>
            <w:tcW w:w="2595" w:type="dxa"/>
            <w:vMerge w:val="restart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2.1 供应链协同计划制定 </w:t>
            </w:r>
          </w:p>
        </w:tc>
        <w:tc>
          <w:tcPr>
            <w:tcW w:w="2188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2.1.1 能制定供应链协同策略</w:t>
            </w:r>
          </w:p>
        </w:tc>
        <w:tc>
          <w:tcPr>
            <w:tcW w:w="4341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1）供应链上的谷仓效应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2）供应链协同思想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3）供应链协同管理策略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4）供应链协同案例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2.1.2 能设计供应链产供销协同方案 </w:t>
            </w:r>
          </w:p>
        </w:tc>
        <w:tc>
          <w:tcPr>
            <w:tcW w:w="4341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1）供应链产销协同出现的原因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2）供应链产销协同的定义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3）产销协同的作用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4）产销协同流程成功要素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销售与运 营计划(S&amp;OP)流程管理 </w:t>
            </w:r>
          </w:p>
        </w:tc>
        <w:tc>
          <w:tcPr>
            <w:tcW w:w="2188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2.2.1 能设计销售与运营计划(S&amp;OP)流程 </w:t>
            </w:r>
          </w:p>
        </w:tc>
        <w:tc>
          <w:tcPr>
            <w:tcW w:w="4341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1）S</w:t>
            </w:r>
            <w:r>
              <w:rPr>
                <w:rFonts w:ascii="宋体" w:hAnsi="宋体" w:eastAsia="宋体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OP的流程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2）流程设计的成功因素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3）S</w:t>
            </w:r>
            <w:r>
              <w:rPr>
                <w:rFonts w:ascii="宋体" w:hAnsi="宋体" w:eastAsia="宋体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OP流程设计案例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2.2.2 能评估销售与运营计划(S&amp;OP)实施绩效</w:t>
            </w:r>
          </w:p>
        </w:tc>
        <w:tc>
          <w:tcPr>
            <w:tcW w:w="4341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1）S</w:t>
            </w:r>
            <w:r>
              <w:rPr>
                <w:rFonts w:ascii="宋体" w:hAnsi="宋体" w:eastAsia="宋体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OP实施绩效指标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2）S</w:t>
            </w:r>
            <w:r>
              <w:rPr>
                <w:rFonts w:ascii="宋体" w:hAnsi="宋体" w:eastAsia="宋体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OP运作成熟度评估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3）从S</w:t>
            </w:r>
            <w:r>
              <w:rPr>
                <w:rFonts w:ascii="宋体" w:hAnsi="宋体" w:eastAsia="宋体"/>
                <w:sz w:val="18"/>
                <w:szCs w:val="18"/>
              </w:rPr>
              <w:t>&amp;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OP到IBP的转变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58" w:type="dxa"/>
            <w:vMerge w:val="continue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2.3 战略库存管理</w:t>
            </w:r>
          </w:p>
        </w:tc>
        <w:tc>
          <w:tcPr>
            <w:tcW w:w="2188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2.3.1 能制定供应链战略库存策略</w:t>
            </w:r>
          </w:p>
        </w:tc>
        <w:tc>
          <w:tcPr>
            <w:tcW w:w="4341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1）VMI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2）JMI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3）CPFR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58" w:type="dxa"/>
            <w:vMerge w:val="continue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2.3.2 能设计供应链战略库存实施方案 </w:t>
            </w:r>
          </w:p>
        </w:tc>
        <w:tc>
          <w:tcPr>
            <w:tcW w:w="4341" w:type="dxa"/>
            <w:shd w:val="clear" w:color="auto" w:fill="ADB9CA" w:themeFill="text2" w:themeFillTint="6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1）供应链站了库存实施阶段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2）供应链战略库存实施展望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restart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采购管理</w:t>
            </w:r>
          </w:p>
        </w:tc>
        <w:tc>
          <w:tcPr>
            <w:tcW w:w="2595" w:type="dxa"/>
            <w:vMerge w:val="restart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3.1 采购管理体系制定 </w:t>
            </w:r>
          </w:p>
        </w:tc>
        <w:tc>
          <w:tcPr>
            <w:tcW w:w="2188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3.1.1 能制定企业采购管理制度</w:t>
            </w:r>
          </w:p>
        </w:tc>
        <w:tc>
          <w:tcPr>
            <w:tcW w:w="4341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1）确定企业采购的目标与战略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2）采购管理体系的内容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3）采购管理案例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3.1.2 能制定采购流程 </w:t>
            </w:r>
          </w:p>
        </w:tc>
        <w:tc>
          <w:tcPr>
            <w:tcW w:w="4341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1）企业采购管理制度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2）制定企业采购管理流程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3.2 战略寻源策略制定 </w:t>
            </w:r>
          </w:p>
        </w:tc>
        <w:tc>
          <w:tcPr>
            <w:tcW w:w="2188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3.2.1 能制定战略寻源流程 </w:t>
            </w:r>
          </w:p>
        </w:tc>
        <w:tc>
          <w:tcPr>
            <w:tcW w:w="4341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1）供应链战略寻源的价值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2）供应链战略寻源的流程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3.2.2 能设计战略寻源方案 </w:t>
            </w:r>
          </w:p>
        </w:tc>
        <w:tc>
          <w:tcPr>
            <w:tcW w:w="4341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1）战略寻源框架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2）战略寻源的实施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3.3 采购合规体系制定 </w:t>
            </w:r>
          </w:p>
        </w:tc>
        <w:tc>
          <w:tcPr>
            <w:tcW w:w="2188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3.3.1 能制定采购合规管理体系</w:t>
            </w:r>
          </w:p>
        </w:tc>
        <w:tc>
          <w:tcPr>
            <w:tcW w:w="4341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1）合规管理体系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2）采购合规体系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3）制定合规体系的案例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.3.2 能制定采购合规评价 </w:t>
            </w:r>
          </w:p>
        </w:tc>
        <w:tc>
          <w:tcPr>
            <w:tcW w:w="4341" w:type="dxa"/>
            <w:shd w:val="clear" w:color="auto" w:fill="DEEAF6" w:themeFill="accent5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1）采购合规体系的绩效评价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2）企业采购合规评价案例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restart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生产管理</w:t>
            </w:r>
          </w:p>
        </w:tc>
        <w:tc>
          <w:tcPr>
            <w:tcW w:w="2595" w:type="dxa"/>
            <w:vMerge w:val="restart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4.1 生产策略制定 </w:t>
            </w:r>
          </w:p>
        </w:tc>
        <w:tc>
          <w:tcPr>
            <w:tcW w:w="2188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4.1.1 能制定生产模式策略 </w:t>
            </w:r>
          </w:p>
        </w:tc>
        <w:tc>
          <w:tcPr>
            <w:tcW w:w="4341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1）产品生产特征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2）企业生产战略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3）生产模式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4.1.2 能设计生产计划优化 </w:t>
            </w:r>
          </w:p>
        </w:tc>
        <w:tc>
          <w:tcPr>
            <w:tcW w:w="4341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1）生产计划排程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2）排程优化方法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3）应用规划求解工具优化生产计划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4.2 物料管理策略制定 </w:t>
            </w:r>
          </w:p>
        </w:tc>
        <w:tc>
          <w:tcPr>
            <w:tcW w:w="2188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4.2.1 能制定物料控制模式 </w:t>
            </w:r>
          </w:p>
        </w:tc>
        <w:tc>
          <w:tcPr>
            <w:tcW w:w="4341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1）物料管理的目标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2）生产物料管理的原则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3）物料控制的主要任务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4.2.2 能制定联合库存管理 </w:t>
            </w:r>
          </w:p>
        </w:tc>
        <w:tc>
          <w:tcPr>
            <w:tcW w:w="4341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1）联合库存管理的形式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2）联合库存管理策略实施要点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4.2.3 能制定安全库存策略 </w:t>
            </w:r>
          </w:p>
        </w:tc>
        <w:tc>
          <w:tcPr>
            <w:tcW w:w="4341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1）保有安全库存的原因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2）安全库存的决定因素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3）安全库存的制定方法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4.3 产品与服务开发协同 </w:t>
            </w:r>
          </w:p>
        </w:tc>
        <w:tc>
          <w:tcPr>
            <w:tcW w:w="2188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4.3.1 能对产品与服务开发的策略提出建议</w:t>
            </w:r>
          </w:p>
        </w:tc>
        <w:tc>
          <w:tcPr>
            <w:tcW w:w="4341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1）产品与服务开发的核心思想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2）产品与服务开发策略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4.3.2 能设计产品与服务开发的优化项目方案 </w:t>
            </w:r>
          </w:p>
        </w:tc>
        <w:tc>
          <w:tcPr>
            <w:tcW w:w="4341" w:type="dxa"/>
            <w:shd w:val="clear" w:color="auto" w:fill="E2EFD9" w:themeFill="accent6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1）产品开发流程优化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2）产品开发优化案例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restart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物流管理</w:t>
            </w:r>
          </w:p>
        </w:tc>
        <w:tc>
          <w:tcPr>
            <w:tcW w:w="2595" w:type="dxa"/>
            <w:vMerge w:val="restart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5.1 物流运营策略制定 </w:t>
            </w:r>
          </w:p>
        </w:tc>
        <w:tc>
          <w:tcPr>
            <w:tcW w:w="2188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5.1.1 能制定运输与配送运营策略</w:t>
            </w:r>
          </w:p>
        </w:tc>
        <w:tc>
          <w:tcPr>
            <w:tcW w:w="4341" w:type="dxa"/>
            <w:vMerge w:val="restart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1）物流运营的范畴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2）物流运营的策略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5.1.3 能制定仓储运营策略</w:t>
            </w:r>
          </w:p>
        </w:tc>
        <w:tc>
          <w:tcPr>
            <w:tcW w:w="434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5.1.2 能制定运输与配送考核与评价体系</w:t>
            </w:r>
          </w:p>
        </w:tc>
        <w:tc>
          <w:tcPr>
            <w:tcW w:w="4341" w:type="dxa"/>
            <w:vMerge w:val="restart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1）物流服务的考核指标体系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2）仓储考核指标体系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3）运输与配送考核指标体系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5.1.4 能制定仓储考核与评价体系 </w:t>
            </w:r>
          </w:p>
        </w:tc>
        <w:tc>
          <w:tcPr>
            <w:tcW w:w="4341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5.2 逆向物流体系设计 </w:t>
            </w:r>
          </w:p>
        </w:tc>
        <w:tc>
          <w:tcPr>
            <w:tcW w:w="2188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5.2.1 能设计逆向物流网络体系</w:t>
            </w:r>
          </w:p>
        </w:tc>
        <w:tc>
          <w:tcPr>
            <w:tcW w:w="4341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1）逆向物流生态系统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2）逆向物流网络结构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3）逆向物流网络规划与设计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5.2.2 能制定逆向物流管理策略 </w:t>
            </w:r>
          </w:p>
        </w:tc>
        <w:tc>
          <w:tcPr>
            <w:tcW w:w="4341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1）从减量化到再生的逆向物流实施步骤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2）逆向物流管理与评价方法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3）逆向物流管理策略案例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5.3 物流外包战略制定 </w:t>
            </w:r>
          </w:p>
        </w:tc>
        <w:tc>
          <w:tcPr>
            <w:tcW w:w="2188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5.3.1 能制定物流运营模式 </w:t>
            </w:r>
          </w:p>
        </w:tc>
        <w:tc>
          <w:tcPr>
            <w:tcW w:w="4341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1）自营模式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2）外包模式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3）混合模式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5.3.2 能制定物流供应商选择策略 </w:t>
            </w:r>
          </w:p>
        </w:tc>
        <w:tc>
          <w:tcPr>
            <w:tcW w:w="4341" w:type="dxa"/>
            <w:shd w:val="clear" w:color="auto" w:fill="D9E2F3" w:themeFill="accent1" w:themeFillTint="3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1）物流供应商的选择与评价指标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2）物流供应商选择的步骤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3）物流供应商选择的方法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创新管理</w:t>
            </w:r>
          </w:p>
        </w:tc>
        <w:tc>
          <w:tcPr>
            <w:tcW w:w="2595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供应链创新管理</w:t>
            </w:r>
          </w:p>
        </w:tc>
        <w:tc>
          <w:tcPr>
            <w:tcW w:w="2188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6.1.1 能制定供应链创新策略</w:t>
            </w:r>
          </w:p>
        </w:tc>
        <w:tc>
          <w:tcPr>
            <w:tcW w:w="4341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1）供应链创新需解决的问题短板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2）供应链创新领域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）不同类型企业供应链创新策略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6.1.2 能开发管理供应链创新项目 </w:t>
            </w:r>
          </w:p>
        </w:tc>
        <w:tc>
          <w:tcPr>
            <w:tcW w:w="4341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1）供应链创新项目的分类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2）供应链创新项目开发流程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3）供应链创新项目案例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供应链金融业务战略制定</w:t>
            </w:r>
          </w:p>
        </w:tc>
        <w:tc>
          <w:tcPr>
            <w:tcW w:w="2188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sz w:val="18"/>
                <w:szCs w:val="18"/>
              </w:rPr>
              <w:t>.2.1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能制定供应链金融业务发展策略</w:t>
            </w:r>
          </w:p>
        </w:tc>
        <w:tc>
          <w:tcPr>
            <w:tcW w:w="4341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1）供应链金融的概念与特点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2）供应链金融业务模式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3）供应链金融发展策略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6.2.2 能规划供应链金融业务 </w:t>
            </w:r>
          </w:p>
        </w:tc>
        <w:tc>
          <w:tcPr>
            <w:tcW w:w="4341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1）供应链金融的商业模式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2）供应链金融业务规划案例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6.2.3 能制定供应链金融业务风险控制策略 </w:t>
            </w:r>
          </w:p>
        </w:tc>
        <w:tc>
          <w:tcPr>
            <w:tcW w:w="4341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1）供应链金融风险分类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2）供应链金融风险的表现形式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）供应链金融风控策略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4）供应链金融风控案例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供应链数字化战略制定</w:t>
            </w:r>
          </w:p>
        </w:tc>
        <w:tc>
          <w:tcPr>
            <w:tcW w:w="2188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.3.1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能制定供应链数字化战略</w:t>
            </w:r>
          </w:p>
        </w:tc>
        <w:tc>
          <w:tcPr>
            <w:tcW w:w="4341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1）供应链数字化技术趋势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2）供应链数字化的价值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3）供应链数字化转型途径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4）供应链数字化战略案例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.3.2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能利用大数据、区块链等新技术组织供应链创新</w:t>
            </w:r>
          </w:p>
        </w:tc>
        <w:tc>
          <w:tcPr>
            <w:tcW w:w="4341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1）大数据的概念与特征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2）大数据的价值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3）大数据的机会与挑战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4）供应链大数据分析的应用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5）供应链大数据应用技术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6）供应链大数据战略案例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8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41" w:type="dxa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1）区块链技术的基本原理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2）区块链技术在供应链上的应用价值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3）供应链上区块链技术应用案例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D"/>
    <w:rsid w:val="0001703E"/>
    <w:rsid w:val="0002128C"/>
    <w:rsid w:val="000346EA"/>
    <w:rsid w:val="00054807"/>
    <w:rsid w:val="00076259"/>
    <w:rsid w:val="000B0E49"/>
    <w:rsid w:val="000B3D98"/>
    <w:rsid w:val="000D3A3A"/>
    <w:rsid w:val="000D43EA"/>
    <w:rsid w:val="000F7ABC"/>
    <w:rsid w:val="00100B43"/>
    <w:rsid w:val="00126B7A"/>
    <w:rsid w:val="00132233"/>
    <w:rsid w:val="00143656"/>
    <w:rsid w:val="001549E3"/>
    <w:rsid w:val="001557DC"/>
    <w:rsid w:val="00157AC6"/>
    <w:rsid w:val="001B3957"/>
    <w:rsid w:val="001F5116"/>
    <w:rsid w:val="001F7EC6"/>
    <w:rsid w:val="00247CAD"/>
    <w:rsid w:val="00255BB1"/>
    <w:rsid w:val="002619B0"/>
    <w:rsid w:val="00273072"/>
    <w:rsid w:val="00275CEA"/>
    <w:rsid w:val="002A6C40"/>
    <w:rsid w:val="002D5FA0"/>
    <w:rsid w:val="00304C9B"/>
    <w:rsid w:val="00313F1C"/>
    <w:rsid w:val="00321CAA"/>
    <w:rsid w:val="00331AD3"/>
    <w:rsid w:val="003A3DAA"/>
    <w:rsid w:val="003D1CAD"/>
    <w:rsid w:val="003D2A92"/>
    <w:rsid w:val="003F47A3"/>
    <w:rsid w:val="00400B5C"/>
    <w:rsid w:val="004029AE"/>
    <w:rsid w:val="00416A8E"/>
    <w:rsid w:val="00423E80"/>
    <w:rsid w:val="00431F0C"/>
    <w:rsid w:val="00454B26"/>
    <w:rsid w:val="00500AC9"/>
    <w:rsid w:val="00510790"/>
    <w:rsid w:val="005242BC"/>
    <w:rsid w:val="00543AE9"/>
    <w:rsid w:val="00574130"/>
    <w:rsid w:val="005A6622"/>
    <w:rsid w:val="005B31D5"/>
    <w:rsid w:val="005B7856"/>
    <w:rsid w:val="005C200B"/>
    <w:rsid w:val="005C2424"/>
    <w:rsid w:val="005E78B7"/>
    <w:rsid w:val="005F7939"/>
    <w:rsid w:val="00606B20"/>
    <w:rsid w:val="00632E81"/>
    <w:rsid w:val="006464A7"/>
    <w:rsid w:val="00664537"/>
    <w:rsid w:val="00687DCB"/>
    <w:rsid w:val="006C0EF6"/>
    <w:rsid w:val="006E6509"/>
    <w:rsid w:val="006F4FD0"/>
    <w:rsid w:val="00711B32"/>
    <w:rsid w:val="00722400"/>
    <w:rsid w:val="0076435C"/>
    <w:rsid w:val="0078691F"/>
    <w:rsid w:val="00792F34"/>
    <w:rsid w:val="007A5E56"/>
    <w:rsid w:val="007A6526"/>
    <w:rsid w:val="007C2ACF"/>
    <w:rsid w:val="007F0061"/>
    <w:rsid w:val="007F6E78"/>
    <w:rsid w:val="008140A9"/>
    <w:rsid w:val="00820EB7"/>
    <w:rsid w:val="008479CE"/>
    <w:rsid w:val="00855C11"/>
    <w:rsid w:val="00861954"/>
    <w:rsid w:val="00863212"/>
    <w:rsid w:val="0086374C"/>
    <w:rsid w:val="00874716"/>
    <w:rsid w:val="00896328"/>
    <w:rsid w:val="008A0EC0"/>
    <w:rsid w:val="008A5FAF"/>
    <w:rsid w:val="008A6BEB"/>
    <w:rsid w:val="008B037E"/>
    <w:rsid w:val="008D1FBE"/>
    <w:rsid w:val="008F1325"/>
    <w:rsid w:val="008F1FD3"/>
    <w:rsid w:val="00927EB8"/>
    <w:rsid w:val="00936ED4"/>
    <w:rsid w:val="00952E04"/>
    <w:rsid w:val="00973967"/>
    <w:rsid w:val="0097412C"/>
    <w:rsid w:val="00995745"/>
    <w:rsid w:val="009F4028"/>
    <w:rsid w:val="00A15E76"/>
    <w:rsid w:val="00A239DE"/>
    <w:rsid w:val="00A25AB9"/>
    <w:rsid w:val="00A800BD"/>
    <w:rsid w:val="00A911E3"/>
    <w:rsid w:val="00A93ABE"/>
    <w:rsid w:val="00A94E59"/>
    <w:rsid w:val="00AB1ABB"/>
    <w:rsid w:val="00AB33E6"/>
    <w:rsid w:val="00AD236A"/>
    <w:rsid w:val="00AF3DF9"/>
    <w:rsid w:val="00B463CD"/>
    <w:rsid w:val="00B47086"/>
    <w:rsid w:val="00BD287E"/>
    <w:rsid w:val="00BF51F6"/>
    <w:rsid w:val="00BF73C7"/>
    <w:rsid w:val="00C0349D"/>
    <w:rsid w:val="00C10D7A"/>
    <w:rsid w:val="00C84134"/>
    <w:rsid w:val="00C941BC"/>
    <w:rsid w:val="00CC0C9A"/>
    <w:rsid w:val="00CD64B5"/>
    <w:rsid w:val="00CE5140"/>
    <w:rsid w:val="00D13DCA"/>
    <w:rsid w:val="00D53CB1"/>
    <w:rsid w:val="00D82BEC"/>
    <w:rsid w:val="00DB42A8"/>
    <w:rsid w:val="00DC588C"/>
    <w:rsid w:val="00DD0938"/>
    <w:rsid w:val="00E06C25"/>
    <w:rsid w:val="00E108AA"/>
    <w:rsid w:val="00E25CCD"/>
    <w:rsid w:val="00E3225F"/>
    <w:rsid w:val="00E4173A"/>
    <w:rsid w:val="00E70411"/>
    <w:rsid w:val="00E712FA"/>
    <w:rsid w:val="00E71CF5"/>
    <w:rsid w:val="00E84C27"/>
    <w:rsid w:val="00E90E24"/>
    <w:rsid w:val="00E93DA1"/>
    <w:rsid w:val="00EA3429"/>
    <w:rsid w:val="00EB4B27"/>
    <w:rsid w:val="00EC1885"/>
    <w:rsid w:val="00EC3842"/>
    <w:rsid w:val="00EC6720"/>
    <w:rsid w:val="00ED5380"/>
    <w:rsid w:val="00EE01CB"/>
    <w:rsid w:val="00EE4D58"/>
    <w:rsid w:val="00EE587E"/>
    <w:rsid w:val="00EF36B1"/>
    <w:rsid w:val="00F0544A"/>
    <w:rsid w:val="00F43B76"/>
    <w:rsid w:val="00F62493"/>
    <w:rsid w:val="00F74D04"/>
    <w:rsid w:val="00F84CDC"/>
    <w:rsid w:val="00FC273D"/>
    <w:rsid w:val="00FC67AE"/>
    <w:rsid w:val="00FC6D4C"/>
    <w:rsid w:val="00FE3FD5"/>
    <w:rsid w:val="00FF2492"/>
    <w:rsid w:val="4D7A3D0B"/>
    <w:rsid w:val="653B26F3"/>
    <w:rsid w:val="71F5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912</Words>
  <Characters>5203</Characters>
  <Lines>43</Lines>
  <Paragraphs>12</Paragraphs>
  <TotalTime>1</TotalTime>
  <ScaleCrop>false</ScaleCrop>
  <LinksUpToDate>false</LinksUpToDate>
  <CharactersWithSpaces>6103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2021-04-03T02:02:00Z</dcterms:created>
  <dc:creator>黄 颖</dc:creator>
  <cp:lastModifiedBy>张晓梅</cp:lastModifiedBy>
  <dcterms:modified xsi:type="dcterms:W3CDTF">2021-07-22T03:21:45Z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DD162DD49B354E679CE29FC8A4799065</vt:lpwstr>
  </property>
</Properties>
</file>